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B" w:rsidRPr="00E00F87" w:rsidRDefault="00E00F87" w:rsidP="00E00F87">
      <w:pPr>
        <w:pStyle w:val="Quote"/>
        <w:jc w:val="center"/>
        <w:rPr>
          <w:rStyle w:val="IntenseEmphasis"/>
          <w:sz w:val="40"/>
          <w:szCs w:val="40"/>
          <w:u w:val="single"/>
        </w:rPr>
      </w:pPr>
      <w:proofErr w:type="spellStart"/>
      <w:r w:rsidRPr="00E00F87">
        <w:rPr>
          <w:rStyle w:val="IntenseEmphasis"/>
          <w:sz w:val="40"/>
          <w:szCs w:val="40"/>
          <w:u w:val="single"/>
        </w:rPr>
        <w:t>Referat</w:t>
      </w:r>
      <w:proofErr w:type="spellEnd"/>
      <w:r w:rsidRPr="00E00F87">
        <w:rPr>
          <w:rStyle w:val="IntenseEmphasis"/>
          <w:sz w:val="40"/>
          <w:szCs w:val="40"/>
          <w:u w:val="single"/>
        </w:rPr>
        <w:t xml:space="preserve"> </w:t>
      </w:r>
      <w:proofErr w:type="spellStart"/>
      <w:r w:rsidRPr="00E00F87">
        <w:rPr>
          <w:rStyle w:val="IntenseEmphasis"/>
          <w:sz w:val="40"/>
          <w:szCs w:val="40"/>
          <w:u w:val="single"/>
        </w:rPr>
        <w:t>Refractometrie</w:t>
      </w:r>
      <w:proofErr w:type="spellEnd"/>
    </w:p>
    <w:p w:rsidR="00E00F87" w:rsidRPr="00E00F87" w:rsidRDefault="00E00F87" w:rsidP="00E00F87">
      <w:pPr>
        <w:pStyle w:val="Heading1"/>
        <w:jc w:val="center"/>
        <w:rPr>
          <w:u w:val="single"/>
        </w:rPr>
      </w:pPr>
      <w:proofErr w:type="spellStart"/>
      <w:r w:rsidRPr="00E00F87">
        <w:rPr>
          <w:u w:val="single"/>
        </w:rPr>
        <w:t>Determinarea</w:t>
      </w:r>
      <w:proofErr w:type="spellEnd"/>
      <w:r w:rsidRPr="00E00F87">
        <w:rPr>
          <w:u w:val="single"/>
        </w:rPr>
        <w:t xml:space="preserve"> </w:t>
      </w:r>
      <w:proofErr w:type="spellStart"/>
      <w:r w:rsidRPr="00E00F87">
        <w:rPr>
          <w:u w:val="single"/>
        </w:rPr>
        <w:t>experimentala</w:t>
      </w:r>
      <w:proofErr w:type="spellEnd"/>
      <w:r w:rsidRPr="00E00F87">
        <w:rPr>
          <w:u w:val="single"/>
        </w:rPr>
        <w:t xml:space="preserve"> a </w:t>
      </w:r>
      <w:proofErr w:type="spellStart"/>
      <w:r w:rsidRPr="00E00F87">
        <w:rPr>
          <w:u w:val="single"/>
        </w:rPr>
        <w:t>unei</w:t>
      </w:r>
      <w:proofErr w:type="spellEnd"/>
      <w:r w:rsidRPr="00E00F87">
        <w:rPr>
          <w:u w:val="single"/>
        </w:rPr>
        <w:t xml:space="preserve"> </w:t>
      </w:r>
      <w:proofErr w:type="spellStart"/>
      <w:r w:rsidRPr="00E00F87">
        <w:rPr>
          <w:u w:val="single"/>
        </w:rPr>
        <w:t>concentratii</w:t>
      </w:r>
      <w:proofErr w:type="spellEnd"/>
      <w:r w:rsidRPr="00E00F87">
        <w:rPr>
          <w:u w:val="single"/>
        </w:rPr>
        <w:t xml:space="preserve"> de </w:t>
      </w:r>
      <w:proofErr w:type="spellStart"/>
      <w:r w:rsidRPr="00E00F87">
        <w:rPr>
          <w:u w:val="single"/>
        </w:rPr>
        <w:t>glicerina</w:t>
      </w:r>
      <w:proofErr w:type="spellEnd"/>
      <w:r w:rsidRPr="00E00F87">
        <w:rPr>
          <w:u w:val="single"/>
        </w:rPr>
        <w:t xml:space="preserve"> cu </w:t>
      </w:r>
      <w:proofErr w:type="spellStart"/>
      <w:r w:rsidRPr="00E00F87">
        <w:rPr>
          <w:u w:val="single"/>
        </w:rPr>
        <w:t>ajutorul</w:t>
      </w:r>
      <w:proofErr w:type="spellEnd"/>
      <w:r w:rsidRPr="00E00F87">
        <w:rPr>
          <w:u w:val="single"/>
        </w:rPr>
        <w:t xml:space="preserve"> </w:t>
      </w:r>
      <w:proofErr w:type="spellStart"/>
      <w:r w:rsidRPr="00E00F87">
        <w:rPr>
          <w:u w:val="single"/>
        </w:rPr>
        <w:t>refractometrului</w:t>
      </w:r>
      <w:proofErr w:type="spellEnd"/>
      <w:r w:rsidRPr="00E00F87">
        <w:rPr>
          <w:u w:val="single"/>
        </w:rPr>
        <w:t xml:space="preserve"> Abbe</w:t>
      </w:r>
    </w:p>
    <w:p w:rsidR="00E00F87" w:rsidRDefault="00E00F87" w:rsidP="00E00F87"/>
    <w:p w:rsidR="00E00F87" w:rsidRDefault="00E00F87" w:rsidP="00E00F87">
      <w:proofErr w:type="spellStart"/>
      <w:r>
        <w:t>Autori</w:t>
      </w:r>
      <w:proofErr w:type="spellEnd"/>
      <w:r>
        <w:t xml:space="preserve">: </w:t>
      </w:r>
      <w:r w:rsidRPr="00E00F87">
        <w:rPr>
          <w:b/>
        </w:rPr>
        <w:t>Tirdea Cosmin</w:t>
      </w:r>
      <w:r>
        <w:rPr>
          <w:b/>
        </w:rPr>
        <w:t xml:space="preserve">, </w:t>
      </w:r>
      <w:r w:rsidRPr="00E00F87">
        <w:t xml:space="preserve">Iliescu Anton, </w:t>
      </w:r>
      <w:proofErr w:type="spellStart"/>
      <w:r w:rsidRPr="00E00F87">
        <w:t>Popescu</w:t>
      </w:r>
      <w:proofErr w:type="spellEnd"/>
      <w:r w:rsidRPr="00E00F87">
        <w:t xml:space="preserve"> </w:t>
      </w:r>
      <w:proofErr w:type="spellStart"/>
      <w:r w:rsidRPr="00E00F87">
        <w:t>Adelina</w:t>
      </w:r>
      <w:proofErr w:type="spellEnd"/>
      <w:r w:rsidRPr="00E00F87">
        <w:t xml:space="preserve">, </w:t>
      </w:r>
      <w:proofErr w:type="spellStart"/>
      <w:proofErr w:type="gramStart"/>
      <w:r>
        <w:t>Blanaru</w:t>
      </w:r>
      <w:proofErr w:type="spellEnd"/>
      <w:proofErr w:type="gramEnd"/>
      <w:r>
        <w:t xml:space="preserve"> Diana.</w:t>
      </w:r>
    </w:p>
    <w:p w:rsidR="00E00F87" w:rsidRDefault="00E00F87" w:rsidP="00E00F87"/>
    <w:p w:rsidR="00E00F87" w:rsidRDefault="00E00F87" w:rsidP="00E00F87">
      <w:pPr>
        <w:rPr>
          <w:b/>
          <w:sz w:val="32"/>
          <w:szCs w:val="32"/>
          <w:u w:val="single"/>
        </w:rPr>
      </w:pPr>
      <w:proofErr w:type="spellStart"/>
      <w:r w:rsidRPr="00E00F87">
        <w:rPr>
          <w:b/>
          <w:sz w:val="32"/>
          <w:szCs w:val="32"/>
          <w:u w:val="single"/>
        </w:rPr>
        <w:t>Introducere</w:t>
      </w:r>
      <w:proofErr w:type="spellEnd"/>
    </w:p>
    <w:p w:rsidR="00E00F87" w:rsidRDefault="00E00F87" w:rsidP="00E00F87">
      <w:pPr>
        <w:rPr>
          <w:b/>
          <w:sz w:val="32"/>
          <w:szCs w:val="32"/>
          <w:u w:val="single"/>
        </w:rPr>
      </w:pPr>
    </w:p>
    <w:p w:rsidR="00E00F87" w:rsidRDefault="00E00F87" w:rsidP="00E00F87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Mediul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optic </w:t>
      </w:r>
      <w:proofErr w:type="spellStart"/>
      <w:proofErr w:type="gramStart"/>
      <w:r w:rsidRPr="009A230F">
        <w:rPr>
          <w:rFonts w:ascii="Arial Unicode MS" w:eastAsia="Arial Unicode MS" w:hAnsi="Arial Unicode MS" w:cs="Arial Unicode MS"/>
          <w:sz w:val="28"/>
          <w:szCs w:val="28"/>
        </w:rPr>
        <w:t>este</w:t>
      </w:r>
      <w:proofErr w:type="spellEnd"/>
      <w:proofErr w:type="gram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un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mediu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care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permite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propagarea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luminii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Viteza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luminii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Pr="009A230F">
        <w:rPr>
          <w:rFonts w:ascii="Arial Unicode MS" w:eastAsia="Arial Unicode MS" w:hAnsi="Arial Unicode MS" w:cs="Arial Unicode MS"/>
          <w:sz w:val="28"/>
          <w:szCs w:val="28"/>
        </w:rPr>
        <w:t>este</w:t>
      </w:r>
      <w:proofErr w:type="spellEnd"/>
      <w:proofErr w:type="gram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diferita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functie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mediul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in care se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propaga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. .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Cand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lumina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ajunge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la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suprafata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separare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a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doua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optice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, o parte </w:t>
      </w:r>
      <w:proofErr w:type="spellStart"/>
      <w:proofErr w:type="gramStart"/>
      <w:r w:rsidRPr="009A230F">
        <w:rPr>
          <w:rFonts w:ascii="Arial Unicode MS" w:eastAsia="Arial Unicode MS" w:hAnsi="Arial Unicode MS" w:cs="Arial Unicode MS"/>
          <w:sz w:val="28"/>
          <w:szCs w:val="28"/>
        </w:rPr>
        <w:t>va</w:t>
      </w:r>
      <w:proofErr w:type="spellEnd"/>
      <w:proofErr w:type="gram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fi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reflectata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o parte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va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fi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refractata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Fiecare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mediu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optic are un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indice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A230F">
        <w:rPr>
          <w:rFonts w:ascii="Arial Unicode MS" w:eastAsia="Arial Unicode MS" w:hAnsi="Arial Unicode MS" w:cs="Arial Unicode MS"/>
          <w:b/>
          <w:sz w:val="28"/>
          <w:szCs w:val="28"/>
        </w:rPr>
        <w:t>n=c/v</w:t>
      </w:r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unde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A230F">
        <w:rPr>
          <w:rFonts w:ascii="Arial Unicode MS" w:eastAsia="Arial Unicode MS" w:hAnsi="Arial Unicode MS" w:cs="Arial Unicode MS"/>
          <w:b/>
          <w:sz w:val="28"/>
          <w:szCs w:val="28"/>
        </w:rPr>
        <w:t>c</w:t>
      </w:r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este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viteza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luminii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proofErr w:type="gramStart"/>
      <w:r w:rsidRPr="009A230F">
        <w:rPr>
          <w:rFonts w:ascii="Arial Unicode MS" w:eastAsia="Arial Unicode MS" w:hAnsi="Arial Unicode MS" w:cs="Arial Unicode MS"/>
          <w:sz w:val="28"/>
          <w:szCs w:val="28"/>
        </w:rPr>
        <w:t>vid ,</w:t>
      </w:r>
      <w:proofErr w:type="gram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iar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A230F">
        <w:rPr>
          <w:rFonts w:ascii="Arial Unicode MS" w:eastAsia="Arial Unicode MS" w:hAnsi="Arial Unicode MS" w:cs="Arial Unicode MS"/>
          <w:b/>
          <w:sz w:val="28"/>
          <w:szCs w:val="28"/>
        </w:rPr>
        <w:t>v</w:t>
      </w:r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este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viteza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luminii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mediul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9A230F">
        <w:rPr>
          <w:rFonts w:ascii="Arial Unicode MS" w:eastAsia="Arial Unicode MS" w:hAnsi="Arial Unicode MS" w:cs="Arial Unicode MS"/>
          <w:sz w:val="28"/>
          <w:szCs w:val="28"/>
        </w:rPr>
        <w:t>respectiv</w:t>
      </w:r>
      <w:proofErr w:type="spellEnd"/>
      <w:r w:rsidRPr="009A230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9A230F" w:rsidRDefault="009A230F" w:rsidP="00E00F8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A230F" w:rsidRDefault="009A230F" w:rsidP="00E00F87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Materiale</w:t>
      </w:r>
      <w:proofErr w:type="spellEnd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si</w:t>
      </w:r>
      <w:proofErr w:type="spellEnd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metode</w:t>
      </w:r>
      <w:proofErr w:type="spellEnd"/>
    </w:p>
    <w:p w:rsidR="009A230F" w:rsidRDefault="009A230F" w:rsidP="00E00F87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:rsidR="009A230F" w:rsidRDefault="009A230F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Pentru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a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determina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concentratia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unei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solutii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glicerina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functie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indicele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ei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refractia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s-au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folosit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refractometrul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Abbe cu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ajutorul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caruia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am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determinat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indicele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sursa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lumina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apa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(considerate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solutie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concentratie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0)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4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solutii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glicerina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concentratii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diferite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5%, 10%, 20%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x% (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aceasta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din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urma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fiind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solutia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a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carei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concentratie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dorim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o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determinam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).</w:t>
      </w:r>
    </w:p>
    <w:p w:rsidR="00074560" w:rsidRDefault="009A230F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Pentru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masurarea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indicelui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plasma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substanta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concentratie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dorita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intre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cele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doua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prisme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ale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refractometrului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74560">
        <w:rPr>
          <w:rFonts w:ascii="Arial Unicode MS" w:eastAsia="Arial Unicode MS" w:hAnsi="Arial Unicode MS" w:cs="Arial Unicode MS"/>
          <w:sz w:val="28"/>
          <w:szCs w:val="28"/>
        </w:rPr>
        <w:t>,</w:t>
      </w:r>
      <w:proofErr w:type="gram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directionam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lumina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venita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de la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sursa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catre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prisme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cu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ajutorul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oglinzii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roteam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blocul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prisme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astfel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incat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linia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demarcare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dintre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zona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luminoasa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cea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intunecata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fie in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centrul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campului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vizual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din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ocularul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drept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prin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rotirea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butonului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din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dreapta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compensam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dispersia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astfel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incat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“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granita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”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dintre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zona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luminoasa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zona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intunecata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fie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clara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dup ace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blocul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prisme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era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pozitionat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correct,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prin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ocularul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stang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citeam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indicele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al </w:t>
      </w:r>
      <w:proofErr w:type="spellStart"/>
      <w:r w:rsidR="00074560">
        <w:rPr>
          <w:rFonts w:ascii="Arial Unicode MS" w:eastAsia="Arial Unicode MS" w:hAnsi="Arial Unicode MS" w:cs="Arial Unicode MS"/>
          <w:sz w:val="28"/>
          <w:szCs w:val="28"/>
        </w:rPr>
        <w:t>solutiei</w:t>
      </w:r>
      <w:proofErr w:type="spellEnd"/>
      <w:r w:rsidR="00074560">
        <w:rPr>
          <w:rFonts w:ascii="Arial Unicode MS" w:eastAsia="Arial Unicode MS" w:hAnsi="Arial Unicode MS" w:cs="Arial Unicode MS"/>
          <w:sz w:val="28"/>
          <w:szCs w:val="28"/>
        </w:rPr>
        <w:t xml:space="preserve"> respective.</w:t>
      </w:r>
      <w:r w:rsidR="003662D8">
        <w:rPr>
          <w:rFonts w:ascii="Arial Unicode MS" w:eastAsia="Arial Unicode MS" w:hAnsi="Arial Unicode MS" w:cs="Arial Unicode MS"/>
          <w:sz w:val="28"/>
          <w:szCs w:val="28"/>
        </w:rPr>
        <w:t xml:space="preserve"> In final </w:t>
      </w:r>
      <w:proofErr w:type="spellStart"/>
      <w:r w:rsidR="003662D8">
        <w:rPr>
          <w:rFonts w:ascii="Arial Unicode MS" w:eastAsia="Arial Unicode MS" w:hAnsi="Arial Unicode MS" w:cs="Arial Unicode MS"/>
          <w:sz w:val="28"/>
          <w:szCs w:val="28"/>
        </w:rPr>
        <w:t>concentratia</w:t>
      </w:r>
      <w:proofErr w:type="spellEnd"/>
      <w:r w:rsidR="003662D8">
        <w:rPr>
          <w:rFonts w:ascii="Arial Unicode MS" w:eastAsia="Arial Unicode MS" w:hAnsi="Arial Unicode MS" w:cs="Arial Unicode MS"/>
          <w:sz w:val="28"/>
          <w:szCs w:val="28"/>
        </w:rPr>
        <w:t xml:space="preserve"> a </w:t>
      </w:r>
      <w:proofErr w:type="spellStart"/>
      <w:r w:rsidR="003662D8">
        <w:rPr>
          <w:rFonts w:ascii="Arial Unicode MS" w:eastAsia="Arial Unicode MS" w:hAnsi="Arial Unicode MS" w:cs="Arial Unicode MS"/>
          <w:sz w:val="28"/>
          <w:szCs w:val="28"/>
        </w:rPr>
        <w:t>fost</w:t>
      </w:r>
      <w:proofErr w:type="spellEnd"/>
      <w:r w:rsidR="003662D8">
        <w:rPr>
          <w:rFonts w:ascii="Arial Unicode MS" w:eastAsia="Arial Unicode MS" w:hAnsi="Arial Unicode MS" w:cs="Arial Unicode MS"/>
          <w:sz w:val="28"/>
          <w:szCs w:val="28"/>
        </w:rPr>
        <w:t xml:space="preserve"> determinate </w:t>
      </w:r>
      <w:proofErr w:type="spellStart"/>
      <w:r w:rsidR="003662D8">
        <w:rPr>
          <w:rFonts w:ascii="Arial Unicode MS" w:eastAsia="Arial Unicode MS" w:hAnsi="Arial Unicode MS" w:cs="Arial Unicode MS"/>
          <w:sz w:val="28"/>
          <w:szCs w:val="28"/>
        </w:rPr>
        <w:t>dupa</w:t>
      </w:r>
      <w:proofErr w:type="spellEnd"/>
      <w:r w:rsidR="003662D8">
        <w:rPr>
          <w:rFonts w:ascii="Arial Unicode MS" w:eastAsia="Arial Unicode MS" w:hAnsi="Arial Unicode MS" w:cs="Arial Unicode MS"/>
          <w:sz w:val="28"/>
          <w:szCs w:val="28"/>
        </w:rPr>
        <w:t xml:space="preserve"> formula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bPr>
          <m:e>
            <w:bookmarkStart w:id="0" w:name="_GoBack"/>
            <w:bookmarkEnd w:id="0"/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sub>
        </m:sSub>
      </m:oMath>
      <w:r w:rsidR="003662D8">
        <w:rPr>
          <w:rFonts w:ascii="Arial Unicode MS" w:eastAsia="Arial Unicode MS" w:hAnsi="Arial Unicode MS" w:cs="Arial Unicode MS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k</m:t>
            </m:r>
          </m:den>
        </m:f>
      </m:oMath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unde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k-factor de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proportionalitate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sub>
        </m:sSub>
      </m:oMath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indicele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al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glicerinei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concentratie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x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si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0</m:t>
            </m:r>
          </m:sub>
        </m:sSub>
      </m:oMath>
      <w:r w:rsidR="005456DE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indicele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refractie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 xml:space="preserve"> al </w:t>
      </w:r>
      <w:proofErr w:type="spellStart"/>
      <w:r w:rsidR="005456DE">
        <w:rPr>
          <w:rFonts w:ascii="Arial Unicode MS" w:eastAsia="Arial Unicode MS" w:hAnsi="Arial Unicode MS" w:cs="Arial Unicode MS"/>
          <w:sz w:val="28"/>
          <w:szCs w:val="28"/>
        </w:rPr>
        <w:t>solventului</w:t>
      </w:r>
      <w:proofErr w:type="spellEnd"/>
      <w:r w:rsidR="005456D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74560" w:rsidRDefault="005456DE" w:rsidP="009A230F">
      <w:pPr>
        <w:ind w:firstLine="720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2978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A0" w:rsidRDefault="005851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44.9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" filled="f" stroked="f">
                <v:textbox>
                  <w:txbxContent>
                    <w:p w:rsidR="005851A0" w:rsidRDefault="005851A0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Rezultate</w:t>
      </w:r>
      <w:proofErr w:type="spellEnd"/>
    </w:p>
    <w:p w:rsidR="005456DE" w:rsidRDefault="005456DE" w:rsidP="009A230F">
      <w:pPr>
        <w:ind w:firstLine="720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page" w:tblpX="2089" w:tblpY="2701"/>
        <w:tblW w:w="0" w:type="auto"/>
        <w:tblLook w:val="04A0" w:firstRow="1" w:lastRow="0" w:firstColumn="1" w:lastColumn="0" w:noHBand="0" w:noVBand="1"/>
      </w:tblPr>
      <w:tblGrid>
        <w:gridCol w:w="1538"/>
        <w:gridCol w:w="1538"/>
      </w:tblGrid>
      <w:tr w:rsidR="005851A0" w:rsidTr="005851A0">
        <w:trPr>
          <w:trHeight w:val="369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C(</w:t>
            </w:r>
            <w:proofErr w:type="gram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%)</w:t>
            </w:r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</w:t>
            </w:r>
            <w:proofErr w:type="gramEnd"/>
          </w:p>
        </w:tc>
      </w:tr>
      <w:tr w:rsidR="005851A0" w:rsidTr="005851A0">
        <w:trPr>
          <w:trHeight w:val="390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0</w:t>
            </w:r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1.3360</w:t>
            </w:r>
          </w:p>
        </w:tc>
      </w:tr>
      <w:tr w:rsidR="005851A0" w:rsidTr="005851A0">
        <w:trPr>
          <w:trHeight w:val="390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1.3420</w:t>
            </w:r>
          </w:p>
        </w:tc>
      </w:tr>
      <w:tr w:rsidR="005851A0" w:rsidTr="005851A0">
        <w:trPr>
          <w:trHeight w:val="390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1.3430</w:t>
            </w:r>
          </w:p>
        </w:tc>
      </w:tr>
      <w:tr w:rsidR="005851A0" w:rsidTr="005851A0">
        <w:trPr>
          <w:trHeight w:val="390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1.3540</w:t>
            </w:r>
          </w:p>
        </w:tc>
      </w:tr>
      <w:tr w:rsidR="005851A0" w:rsidTr="005851A0">
        <w:trPr>
          <w:trHeight w:val="390"/>
        </w:trPr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x</w:t>
            </w:r>
            <w:proofErr w:type="gramEnd"/>
          </w:p>
        </w:tc>
        <w:tc>
          <w:tcPr>
            <w:tcW w:w="1538" w:type="dxa"/>
          </w:tcPr>
          <w:p w:rsidR="005456DE" w:rsidRDefault="005456DE" w:rsidP="005851A0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1.3480</w:t>
            </w:r>
          </w:p>
        </w:tc>
      </w:tr>
    </w:tbl>
    <w:p w:rsidR="005456DE" w:rsidRDefault="005456DE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5851A0" w:rsidRDefault="005851A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074560" w:rsidRDefault="00074560" w:rsidP="009A230F">
      <w:pPr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:rsidR="009A230F" w:rsidRPr="009A230F" w:rsidRDefault="003662D8" w:rsidP="00E00F87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36997" wp14:editId="460698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14900" cy="2946400"/>
            <wp:effectExtent l="0" t="0" r="12700" b="2540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proofErr w:type="spellStart"/>
      <w:proofErr w:type="gramStart"/>
      <w:r w:rsidR="005851A0">
        <w:rPr>
          <w:rFonts w:ascii="Arial Unicode MS" w:eastAsia="Arial Unicode MS" w:hAnsi="Arial Unicode MS" w:cs="Arial Unicode MS"/>
          <w:sz w:val="28"/>
          <w:szCs w:val="28"/>
        </w:rPr>
        <w:t>Rezultatul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 final</w:t>
      </w:r>
      <w:proofErr w:type="gram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al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experimentului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a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fost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8"/>
                <w:szCs w:val="28"/>
                <w:u w:val="single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  <w:sz w:val="28"/>
                <w:szCs w:val="28"/>
                <w:u w:val="single"/>
              </w:rPr>
              <m:t>x</m:t>
            </m:r>
          </m:sub>
        </m:sSub>
        <m:r>
          <w:rPr>
            <w:rFonts w:ascii="Cambria Math" w:eastAsia="Arial Unicode MS" w:hAnsi="Cambria Math" w:cs="Arial Unicode MS"/>
            <w:sz w:val="28"/>
            <w:szCs w:val="28"/>
            <w:u w:val="single"/>
          </w:rPr>
          <m:t>=</m:t>
        </m:r>
      </m:oMath>
      <w:r w:rsidR="005851A0" w:rsidRPr="005851A0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 13.22%</w:t>
      </w:r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,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aceasta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fiind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concentratia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solutiei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glicerina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cu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concentratie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851A0">
        <w:rPr>
          <w:rFonts w:ascii="Arial Unicode MS" w:eastAsia="Arial Unicode MS" w:hAnsi="Arial Unicode MS" w:cs="Arial Unicode MS"/>
          <w:sz w:val="28"/>
          <w:szCs w:val="28"/>
        </w:rPr>
        <w:t>necunoscuta</w:t>
      </w:r>
      <w:proofErr w:type="spellEnd"/>
      <w:r w:rsidR="005851A0">
        <w:rPr>
          <w:rFonts w:ascii="Arial Unicode MS" w:eastAsia="Arial Unicode MS" w:hAnsi="Arial Unicode MS" w:cs="Arial Unicode MS"/>
          <w:sz w:val="28"/>
          <w:szCs w:val="28"/>
        </w:rPr>
        <w:t>.</w:t>
      </w:r>
    </w:p>
    <w:sectPr w:rsidR="009A230F" w:rsidRPr="009A230F" w:rsidSect="00FB6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87"/>
    <w:rsid w:val="00074560"/>
    <w:rsid w:val="0010345B"/>
    <w:rsid w:val="003662D8"/>
    <w:rsid w:val="003A340B"/>
    <w:rsid w:val="005456DE"/>
    <w:rsid w:val="005851A0"/>
    <w:rsid w:val="009A230F"/>
    <w:rsid w:val="00A51F0F"/>
    <w:rsid w:val="00E00F87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7F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87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00F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0F87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00F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0F8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6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62D8"/>
    <w:rPr>
      <w:color w:val="808080"/>
    </w:rPr>
  </w:style>
  <w:style w:type="table" w:styleId="TableGrid">
    <w:name w:val="Table Grid"/>
    <w:basedOn w:val="TableNormal"/>
    <w:uiPriority w:val="59"/>
    <w:rsid w:val="0054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87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00F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0F87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00F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0F8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6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62D8"/>
    <w:rPr>
      <w:color w:val="808080"/>
    </w:rPr>
  </w:style>
  <w:style w:type="table" w:styleId="TableGrid">
    <w:name w:val="Table Grid"/>
    <w:basedOn w:val="TableNormal"/>
    <w:uiPriority w:val="59"/>
    <w:rsid w:val="0054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endParaRPr lang="en-US"/>
          </a:p>
          <a:p>
            <a:pPr>
              <a:defRPr/>
            </a:pPr>
            <a:endParaRPr lang="en-US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</c:v>
                </c:pt>
              </c:strCache>
            </c:strRef>
          </c:tx>
          <c:spPr>
            <a:ln w="47625">
              <a:noFill/>
            </a:ln>
          </c:spPr>
          <c:trendline>
            <c:spPr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/>
            </c:spPr>
            <c:trendlineType val="linear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Sheet1!$A$2:$A$5</c:f>
              <c:numCache>
                <c:formatCode>General</c:formatCode>
                <c:ptCount val="4"/>
                <c:pt idx="0">
                  <c:v>0.0</c:v>
                </c:pt>
                <c:pt idx="1">
                  <c:v>5.0</c:v>
                </c:pt>
                <c:pt idx="2">
                  <c:v>10.0</c:v>
                </c:pt>
                <c:pt idx="3">
                  <c:v>20.0</c:v>
                </c:pt>
              </c:numCache>
            </c:numRef>
          </c:xVal>
          <c:yVal>
            <c:numRef>
              <c:f>Sheet1!$B$2:$B$5</c:f>
              <c:numCache>
                <c:formatCode>#,##0</c:formatCode>
                <c:ptCount val="4"/>
                <c:pt idx="0">
                  <c:v>1336.0</c:v>
                </c:pt>
                <c:pt idx="1">
                  <c:v>1342.0</c:v>
                </c:pt>
                <c:pt idx="2">
                  <c:v>1343.0</c:v>
                </c:pt>
                <c:pt idx="3">
                  <c:v>1354.0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47230616"/>
        <c:axId val="-2147227624"/>
      </c:scatterChart>
      <c:valAx>
        <c:axId val="-2147230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47227624"/>
        <c:crosses val="autoZero"/>
        <c:crossBetween val="midCat"/>
      </c:valAx>
      <c:valAx>
        <c:axId val="-21472276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-2147230616"/>
        <c:crosses val="autoZero"/>
        <c:crossBetween val="midCat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0A340-AAE2-B946-B993-2680D65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309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Tirdea</dc:creator>
  <cp:keywords/>
  <dc:description/>
  <cp:lastModifiedBy>Cosmin Tirdea</cp:lastModifiedBy>
  <cp:revision>1</cp:revision>
  <dcterms:created xsi:type="dcterms:W3CDTF">2014-10-26T10:08:00Z</dcterms:created>
  <dcterms:modified xsi:type="dcterms:W3CDTF">2014-10-26T11:39:00Z</dcterms:modified>
</cp:coreProperties>
</file>